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最新202_演讲稿范文600字</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演讲稿也叫演讲词，它是在较为隆重的仪式上和某些公众场合发表的讲话文稿。整理的范文“最新202_演讲稿范文600字”，供大家阅读参考。查看更多相关内容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演讲稿也叫演讲词，它是在较为隆重的仪式上和某些公众场合发表的讲话文稿。整理的范文“最新202_演讲稿范文600字”，供大家阅读参考。查看更多相关内容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