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政协委员个人简短发言集合9篇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以下是为大家整理的关于政协委员个人简短发言的文章9篇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【篇1】政协委员个人简短发言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区委选派干部赴xx挂职锻炼，是加强干部队伍建设的战略举措，是促进对外交流与合作的有效手段，也是aa建设更高水平小康社会、加快实现“两个率先”的具体行动，能够有幸成为其中的一员，是区委对我们的高度信任，是各级领导对我们的特殊关爱。我们坚决拥护组织决定，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的安排，尽快融入新的团体，适应新的主角，把挂职地区做为自我的第二故乡，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把自我作为aa伸出的触角，坚持多听、多看、多思考，采取深入实际学、沟通联系学、对照查找学等方式，学习敢为人先、敢于突破、与时俱进的理念，学习先进的管理手段和全新的管理模式，学习脚踏实地、扎实肯干、锲而不舍的工作作风，异常是要学习先进地区善于集中方方面面因素朝一个点用劲的思维方式和工作方法。经过学习，使思想观念得到一次“脱胎换骨”的转变，驾驭市场经济本事得到一次“全方位、立体化”的提高。</w:t>
      </w:r>
    </w:p>
    <w:p>
      <w:pPr>
        <w:ind w:left="0" w:right="0" w:firstLine="560"/>
        <w:spacing w:before="450" w:after="450" w:line="312" w:lineRule="auto"/>
      </w:pPr>
      <w:r>
        <w:rPr>
          <w:rFonts w:ascii="宋体" w:hAnsi="宋体" w:eastAsia="宋体" w:cs="宋体"/>
          <w:color w:val="000"/>
          <w:sz w:val="28"/>
          <w:szCs w:val="28"/>
        </w:rPr>
        <w:t xml:space="preserve">　　第三，遵章守纪，严格自律，展示队伍良好形象。严格遵守党风廉政建设各项规定，把挂职锻炼作为党性、党风、人格的一次考验，每一言、每一行都要对aa负责，对挂职单位负责，对自我负责，自觉理解领导、理解监督、理解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【篇2】政协委员个人简短发言</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【篇3】政协委员个人简短发言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【篇4】政协委员个人简短发言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【篇5】政协委员个人简短发言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【篇6】政协委员个人简短发言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【篇7】政协委员个人简短发言</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【篇8】政协委员个人简短发言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【篇9】政协委员个人简短发言</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2025-03-15T02:12:22+08:00</dcterms:created>
  <dcterms:modified xsi:type="dcterms:W3CDTF">2025-03-15T02:12:22+08:00</dcterms:modified>
</cp:coreProperties>
</file>

<file path=docProps/custom.xml><?xml version="1.0" encoding="utf-8"?>
<Properties xmlns="http://schemas.openxmlformats.org/officeDocument/2006/custom-properties" xmlns:vt="http://schemas.openxmlformats.org/officeDocument/2006/docPropsVTypes"/>
</file>