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廉洁自律表态发言简短范文七篇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以下是为大家整理的关于廉洁自律表态发言简短的文章7篇 , 欢迎大家参考查阅！【篇1】廉洁自律表态发言简短　　为了进一步提高思想、转变作风，更好地履行岗位职责、服务群众，并接受组织和广大职工群众的监督，根据xx公司党委关于领导干部党风廉政工作...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以下是为大家整理的关于廉洁自律表态发言简短的文章7篇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【篇1】廉洁自律表态发言简短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【篇2】廉洁自律表态发言简短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【篇3】廉洁自律表态发言简短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一&gt;、勤学善思，不断提高综合素质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【篇4】廉洁自律表态发言简短</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&gt;　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&gt;　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&gt;　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【篇5】廉洁自律表态发言简短</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【篇6】廉洁自律表态发言简短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【篇7】廉洁自律表态发言简短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