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个人发言提纲集合12篇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以下是为大家整理的关于个人发言提纲的文章12篇 ,欢迎品鉴！【篇一】个人发言提纲　　按照巡视整改专题民主生活会相关要求，结合自身思想实际和履职情况，现...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【篇二】个人发言提纲</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【篇四】个人发言提纲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【篇五】个人发言提纲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【篇七】个人发言提纲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xx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【篇十】个人发言提纲</w:t>
      </w:r>
    </w:p>
    <w:p>
      <w:pPr>
        <w:ind w:left="0" w:right="0" w:firstLine="560"/>
        <w:spacing w:before="450" w:after="450" w:line="312" w:lineRule="auto"/>
      </w:pPr>
      <w:r>
        <w:rPr>
          <w:rFonts w:ascii="宋体" w:hAnsi="宋体" w:eastAsia="宋体" w:cs="宋体"/>
          <w:color w:val="000"/>
          <w:sz w:val="28"/>
          <w:szCs w:val="28"/>
        </w:rPr>
        <w:t xml:space="preserve">　　按照XX九届市委第十一轮第三巡察组关于召开巡视整改专题民主生活会的主题和基本要求，本人认真贯彻xxx新时代中国特色社会主义思想和党的十九大精神，从全面从严治党的政治责任出发，切实增强“四个意识”，落实“两个维护”，坚持实事求是的原则，紧扣XX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xxx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xxx为核心的党中央保持高度一致，坚决维护xxxxx在党中央和全党的核心地位，坚决维护以xxx为核心的党中央权威和集中统一领导。认真学习党的十九大精神和《xxx谈治国理政》《xxx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【篇十一】个人发言提纲</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2025-01-22T21:41:43+08:00</dcterms:created>
  <dcterms:modified xsi:type="dcterms:W3CDTF">2025-01-22T21:41:43+08:00</dcterms:modified>
</cp:coreProperties>
</file>

<file path=docProps/custom.xml><?xml version="1.0" encoding="utf-8"?>
<Properties xmlns="http://schemas.openxmlformats.org/officeDocument/2006/custom-properties" xmlns:vt="http://schemas.openxmlformats.org/officeDocument/2006/docPropsVTypes"/>
</file>