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202_度党员组织生活会发言材料范文(通用9篇)</w:t>
      </w:r>
      <w:bookmarkEnd w:id="1"/>
    </w:p>
    <w:p>
      <w:pPr>
        <w:jc w:val="center"/>
        <w:spacing w:before="0" w:after="450"/>
      </w:pPr>
      <w:r>
        <w:rPr>
          <w:rFonts w:ascii="Arial" w:hAnsi="Arial" w:eastAsia="Arial" w:cs="Arial"/>
          <w:color w:val="999999"/>
          <w:sz w:val="20"/>
          <w:szCs w:val="20"/>
        </w:rPr>
        <w:t xml:space="preserve">来源：网络  作者：倾听心灵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以下是为大家整理的关于20_度党员组织生活会发言材料的文章9篇 , 欢迎大家参考查阅！第一篇: 20_度党员组织生活会发言材料　　通过认真学习《准则》《条例》，结合思想、工作、生活、作风等方面，努力查找自身存在的不足，剖析思想根源，认真制定...</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以下是为大家整理的关于20_度党员组织生活会发言材料的文章9篇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第三篇: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第七篇: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组织生活会发言稿4篇汇集】组织生活会发言稿4篇汇集。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第八篇: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 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　　2. 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　　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　　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　　3. 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薄熙来、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&gt;　　二、产生上述问题的主要原因</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　　（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　　（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　　（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　　（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黑体" w:hAnsi="黑体" w:eastAsia="黑体" w:cs="黑体"/>
          <w:color w:val="000000"/>
          <w:sz w:val="36"/>
          <w:szCs w:val="36"/>
          <w:b w:val="1"/>
          <w:bCs w:val="1"/>
        </w:rPr>
        <w:t xml:space="preserve">第九篇: 20_度党员组织生活会发言材料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2025-04-30T15:54:23+08:00</dcterms:created>
  <dcterms:modified xsi:type="dcterms:W3CDTF">2025-04-30T15:54:23+08:00</dcterms:modified>
</cp:coreProperties>
</file>

<file path=docProps/custom.xml><?xml version="1.0" encoding="utf-8"?>
<Properties xmlns="http://schemas.openxmlformats.org/officeDocument/2006/custom-properties" xmlns:vt="http://schemas.openxmlformats.org/officeDocument/2006/docPropsVTypes"/>
</file>