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202_年爱岗敬业主题演讲稿10篇范文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爱岗敬业主题演讲稿，大家一起来看看...</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爱岗敬业主题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宋体" w:hAnsi="宋体" w:eastAsia="宋体" w:cs="宋体"/>
          <w:color w:val="000"/>
          <w:sz w:val="28"/>
          <w:szCs w:val="28"/>
        </w:rPr>
        <w:t xml:space="preserve">我是___的一个新兵，是一名团员青年，我选择了___，义无反顾;___接纳了我，我倍感自豪。面对机遇与挑战，让我们并肩作战，“立足市场求效益，依靠科技求发展”，从我进厂的第一天起，我就把_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2025-03-15T10:30:57+08:00</dcterms:created>
  <dcterms:modified xsi:type="dcterms:W3CDTF">2025-03-15T10:30:57+08:00</dcterms:modified>
</cp:coreProperties>
</file>

<file path=docProps/custom.xml><?xml version="1.0" encoding="utf-8"?>
<Properties xmlns="http://schemas.openxmlformats.org/officeDocument/2006/custom-properties" xmlns:vt="http://schemas.openxmlformats.org/officeDocument/2006/docPropsVTypes"/>
</file>