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爱国爱家文明演讲稿范文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爱国爱家文明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 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黄河长江奔腾万里，那是中国!古老文字源远流长，唐诗宋词代代相传，那是中国!西藏美丽的高原，新疆辽阔的盆地，那是中国!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 屠 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翱翔吧，我的祖国!愿你永远繁荣昌盛，欣欣向荣!</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的海洋里，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