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202_年度民主生活会对照检查发言材料范文(通用5篇)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20_年度民主生活会对照检查发言材料范文(通用5篇),欢迎品鉴![_TAG_h2]第一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