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2024年钢结构承包合同版本 钢结构承包合同款纠纷(十四篇)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钢结构承包合同版本 钢结构承包合同款纠纷一施工单位(乙方)：根据《中华人民共和国合同法》、《建筑安装工程承包合同条例》规定，结合本工程实际情况，经双方友好协商，达成以下协议：±0.000以上钢结构工程、彩钢板工程，不包括任何土建、水、电、暖...</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钢结构承包合同版本 钢结构承包合同款纠纷篇十一</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钢结构承包合同款纠纷篇十二</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