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最新承包劳务合同协议书 餐饮劳务合同协议书(4篇)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承包劳务合同协议书 餐饮劳务合同协议书一地址：_______________乙方：地址(或身份证号)：根据《中华人民共和国劳动法》和有关规定，甲乙双方经平等协商，就乙方承接甲方临时用工事宜达成如下协议：本协议期限自_________年___...</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乙方：地址(或身份证号)：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本协议期限自_________年______月___日起，至_________年______月___日止，为期日/月。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元/人/日，女工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1.在本协议期限内，任何一方均有权提前______个工作日通知对方解除本协议。解除本协议不需支付经济补偿金。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②。u形扣按_________%，③。钢管、钢模按____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____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兹有聘用单位(甲方)______________决定聘用乙方(受聘人)______________从事相关工作，经甲、乙双方协商一致，达成如下协议：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自_________年______月___日至_________年______月___日止，共________年_______月，其中试用期自_________年______月___日至_________年______月___日止，共_______月。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十、本合同一式四份，甲、乙、丙三方，______公司各一份。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