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最新共同出资购房合同(三篇)</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共同出资购房合同一甲方：              身份证号码： 地址：                 联系电话：                 乙方：                 身份证号码：                地址：...</w:t>
      </w:r>
    </w:p>
    <w:p>
      <w:pPr>
        <w:ind w:left="0" w:right="0" w:firstLine="560"/>
        <w:spacing w:before="450" w:after="450" w:line="312" w:lineRule="auto"/>
      </w:pPr>
      <w:r>
        <w:rPr>
          <w:rFonts w:ascii="黑体" w:hAnsi="黑体" w:eastAsia="黑体" w:cs="黑体"/>
          <w:color w:val="000000"/>
          <w:sz w:val="36"/>
          <w:szCs w:val="36"/>
          <w:b w:val="1"/>
          <w:bCs w:val="1"/>
        </w:rPr>
        <w:t xml:space="preserve">共同出资购房合同一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共同出资购房合同二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共同出资购房合同三</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2025-01-22T23:36:17+08:00</dcterms:created>
  <dcterms:modified xsi:type="dcterms:W3CDTF">2025-01-22T23:36:17+08:00</dcterms:modified>
</cp:coreProperties>
</file>

<file path=docProps/custom.xml><?xml version="1.0" encoding="utf-8"?>
<Properties xmlns="http://schemas.openxmlformats.org/officeDocument/2006/custom-properties" xmlns:vt="http://schemas.openxmlformats.org/officeDocument/2006/docPropsVTypes"/>
</file>