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温泉装修合同范本(优选5篇)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温泉装修合同范本1甲方:乙方：根据《^v^合同法》及相关法律、法规之规定，甲乙双方在平等互利基础上，经友好协商，特订意向如下：1、甲方提供观光园内土地面积 亩，由乙方自行投资开发游乐项目(包括游乐设备及游乐场内冷饮、食品店)。2、双方合作时...</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 木工工程 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&gt;（二）施工承包合同的概念和作用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&gt;（三）签订施工合同的原则和条件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（２）平等自愿、协商一致的原则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（３）公平、诚实信用的原则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