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装修用款合同范本(汇总37篇)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装修用款合同范本1发包人(甲方)：承包人(乙方)：就工程，经双方充分的在友好协商签订本合同书，共同遵守如下：一、工程名称：二、工程地点：三、工程项目内容:四、工程期限：本工程自 年 月 日至20xx年 月 日完工。五、工程造价：六、材料设备...</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装修用款合同范本13</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w:t>
      </w:r>
    </w:p>
    <w:p>
      <w:pPr>
        <w:ind w:left="0" w:right="0" w:firstLine="560"/>
        <w:spacing w:before="450" w:after="450" w:line="312" w:lineRule="auto"/>
      </w:pPr>
      <w:r>
        <w:rPr>
          <w:rFonts w:ascii="宋体" w:hAnsi="宋体" w:eastAsia="宋体" w:cs="宋体"/>
          <w:color w:val="000"/>
          <w:sz w:val="28"/>
          <w:szCs w:val="28"/>
        </w:rPr>
        <w:t xml:space="preserve">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