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2024年家庭装修合同书 北京(八篇)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 北京一1、甲方装饰住房系合法居住。 乙方为本市经工商行政管理机关核准登记并经市建委有关部门审定具有民用装饰《资质证书》的企业法人2、装饰施工地点：_________________________________3、住房结构...</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北京七</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 北京八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