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2024年装修工程合同纠纷 装修工程合同纠纷管辖(15篇)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装修工程合同纠纷 装修工程合同纠纷管辖一承包人（以下简称乙方）：1、《中华人民共和国合同法》及。2、国家及武汉市有关工程施工管理法规和规章制度。1、本工程的施工内容：按甲方提供的装修及水电图纸采取包工不包料进行施工。（含所有装修工程的制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装修工程合同纠纷 装修工程合同纠纷管辖篇十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装修工程合同纠纷 装修工程合同纠纷管辖篇十一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承揽单位：</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中华人民共和国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3.承包范围：参见合同附属文件之预算表。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施工图纸一式二份，甲乙双方各持一份，作为本合同的附属文件。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工程期限__日，时间自__起至__止。如在制作期限内甲方提出变更而造成待工，工程时间顺延。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