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202_最新红木家具购销合同书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家具基本情况 (请逐项填写，勿写“同样品”;“验收说明”等内容请在验收后填写。) 表格(见附件) 第二条 质量标准：每件家具应随附符合GB 5296.6 要求的《家具使用说明书》，达到《家具使用说明书》中明示的执行标准，且不低于样品...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家具基本情况 (请逐项填写，勿写“同样品”;“验收说明”等内容请在验收后填写。)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质量标准：每件家具应随附符合GB 5296.6 要求的《家具使用说明书》，达到《家具使用说明书》中明示的执行标准，且不低于样品同等质量。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付款方式：□ 买方应在签约时一次性支付全部价款。 / □ 买方应在签约时支付全部价款 %(不得超过20%) 元的定金，余款 元应在 时付清。买方违约退货的，无权要求返还定金;卖方违约不能交货的，应双倍返还定金。/ □买方应在签约时支付 元的预付款，余款 元应在 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交货及验收：□买方自提 / □卖方送货;交货时间： ;交货地点： 。卖方应在交货时督促买方对家具的商标、数量及款式等外观特征及有无《家具使用说明书》进行验收，买方发现问题应当场提出，并由双方协商达成解决方案。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第五条三包：对于家具的质量问题，应按照《北京市家具产品修理、更换、退货责任规定》执行，卖方或主办单位做出对买方更有利的责任的，按照该执行。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(一)一方迟延送货或提货的，应每日向对方支付迟延部分家具价款 □ 0.3 % /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 的违约金，但因对方原因导致的迟延除外;迟延超过 日的，守约方有权解除合同，支付定金的，可选择适用定金规则。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(二)经国家认可的家具检测机构检测，家具的有害物质限量不符合国家或北京市有关标准的强制性要求的，买方有权无条件退货，并要求卖方赔偿相应的检测费、交通费、误工费等损失。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在展销会或市场内签订的合同，卖方应先交主办单位签章后再交买方保存。卖方撤离展销会或市场的，由主办单位先行承担赔偿责任;主办单位承担责任后，有权向卖方追偿。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争议解决方式：本合同项下发生的争议，由双方协商或向消费者协会等部门申请调解解决;协商或调解解决不成的，□依法向 人民法院起诉。/ □提交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 卖方(签章)： 主办单位(签章)：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 售后服务电话： 售后服务电话：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