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木制作定制合同(三篇)</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木制作定制合同一承揽方：____以下简称甲方定作方：____以下简称乙方第二条加工成品质量要求：一、材种：柜台，货架一律采用水曲柳。二、用材尺寸：按图纸所标尺寸做。三、严格掌握木制品的木材干燥程度，榫缝、肩角结构必须严密，坚固、表面必须平整...</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木制作定制合同三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