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个人入股分红合同协议书(三篇)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个人入股分红合同协议书一一、入股时间：自 年 月 日起至 年 月 日止，共计 年。二、入股金额：乙方出资共计人民币元，计三、入股金资产计算：按人民币 元为总资产(以签约当日核算计)，共计100股(此为原始股)。甲方占 股，乙方占 股。四、分...</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个人入股分红合同协议书一</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①乙方在与甲方合同期内，乙方每月所得固定工资为20_元/月，乙方不参与员工提成，该工资与营利业绩无关。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个人入股分红合同协议书三</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一、入股面积</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五、交付土地的时间甲方应于 年 月 日之前将拟入股的土地交付乙方。 六、权利和义务的特别约定</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 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 3.不按时限支付股权红利的。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宋体" w:hAnsi="宋体" w:eastAsia="宋体" w:cs="宋体"/>
          <w:color w:val="000"/>
          <w:sz w:val="28"/>
          <w:szCs w:val="28"/>
        </w:rPr>
        <w:t xml:space="preserve">(年 月 日签章) 年 月 住址：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2025-04-02T15:05:24+08:00</dcterms:created>
  <dcterms:modified xsi:type="dcterms:W3CDTF">2025-04-02T15:05:24+08:00</dcterms:modified>
</cp:coreProperties>
</file>

<file path=docProps/custom.xml><?xml version="1.0" encoding="utf-8"?>
<Properties xmlns="http://schemas.openxmlformats.org/officeDocument/2006/custom-properties" xmlns:vt="http://schemas.openxmlformats.org/officeDocument/2006/docPropsVTypes"/>
</file>