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经营管理合同(二十一篇)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承包责任人：___________经学校研究决定，学校对东西两个食堂，实行承包经营制度，学校实行“宏观管理，整体控制，个人负责，独立核算，自主经营，自负盈亏，自我发展”的经营管理模式，特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││年经济指标完成情况│应承担的经济责任│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1.销售额(收入)：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2.利润额：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3.流动资金周转天：│││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4.必备商品品种：│││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5.商品流通费用率：│││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6.流动资金利润率：│││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7.流动资金占用率：│││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8.毛利率：│││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w:t>
      </w:r>
    </w:p>
    <w:p>
      <w:pPr>
        <w:ind w:left="0" w:right="0" w:firstLine="560"/>
        <w:spacing w:before="450" w:after="450" w:line="312" w:lineRule="auto"/>
      </w:pPr>
      <w:r>
        <w:rPr>
          <w:rFonts w:ascii="宋体" w:hAnsi="宋体" w:eastAsia="宋体" w:cs="宋体"/>
          <w:color w:val="000"/>
          <w:sz w:val="28"/>
          <w:szCs w:val="28"/>
        </w:rPr>
        <w:t xml:space="preserve">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