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最新广东省农村土地承包经营权流转合同 广东省农村土地流转办法(二十篇)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广东省农村土地承包经营权流转合同 广东省农村土地流转办法一签订日期：________________甲方(原承包方)：________________ 住址：________________乙方(受让 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广东省农村土地流转办法二</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甲方将其承包经营的_________________土地的承包经营权转让给乙方从事________生产经营。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转让的土地承包经营权年限为______年，即自________年_____月______日起至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广东省农村土地流转办法八</w:t>
      </w:r>
    </w:p>
    <w:p>
      <w:pPr>
        <w:ind w:left="0" w:right="0" w:firstLine="560"/>
        <w:spacing w:before="450" w:after="450" w:line="312" w:lineRule="auto"/>
      </w:pPr>
      <w:r>
        <w:rPr>
          <w:rFonts w:ascii="宋体" w:hAnsi="宋体" w:eastAsia="宋体" w:cs="宋体"/>
          <w:color w:val="000"/>
          <w:sz w:val="28"/>
          <w:szCs w:val="28"/>
        </w:rPr>
        <w:t xml:space="preserve">湖北省农村土地承包经营权流转合同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广东省农村土地承包经营权流转合同 广东省农村土地流转办法篇十一</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广东省农村土地流转办法篇十六</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