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土地经营权承包合同协议书(三十篇)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协议书一承包方(乙方)：根据农村土地承包法律法规和政策的有关规定，订立本合同，双方共同遵守。第一条：甲方将坐落在，面积亩的土地(良田)承包给乙方从事农业生产，承包期限三年(自20_年1月4日至20_年11月30日)，承包金...</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