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2024年原材料运输合同 材料运输合同(十篇)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原材料运输合同 材料运输合同一乙方：________________甲方就中________工程订购乙方产品(________________品牌五金件)，经友好协商，双方达成以下协议：一、产品名称、规格、数量、单价、总价幕墙两点锁：执手(...</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材料运输合同七</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