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2024年建设工程承揽合同 工程承揽合同安全责任(十四篇)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建设工程承揽合同 工程承揽合同安全责任一乙方：乙方承揽甲方位于蕲春县横车镇界岭过街广告位广告布安装工程，为了保证工程质量、安全和工期，经双方友好协商达成如下协议：一、工程内容乙方承揽的工程项目：过街广告位宽14米，高4米的`广告位广告布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建设工程承揽合同 工程承揽合同安全责任篇十一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工程承揽合同安全责任篇十三</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