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2024年房屋租赁合同违约条款最新(四篇)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第一条甲方出租房屋(以下简称该房屋)坐落于_____;房屋结构为_____，产权证建筑面积_____平方米，共间(套)，产权证号。第二条该房屋用途为，除双方另有约定外，乙方不得改变房屋用途。第三条租赁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