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金山区写字楼租赁合同范本(必备6篇)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金山区写字楼租赁合同范本1主要性能及特点电、液联合控制 该车的控制系统综合利用了电控和液控的优点，通过电控系统控制液压阀组，提高了使用可靠性和效率。发动机功率输出自动控制 发动机功率输出控制即油门控制可通过电气系统实现全自动控制，满足垃圾压...</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金山区写字楼租赁合同范本1</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金山区写字楼租赁合同范本4</w:t>
      </w:r>
    </w:p>
    <w:p>
      <w:pPr>
        <w:ind w:left="0" w:right="0" w:firstLine="560"/>
        <w:spacing w:before="450" w:after="450" w:line="312" w:lineRule="auto"/>
      </w:pPr>
      <w:r>
        <w:rPr>
          <w:rFonts w:ascii="宋体" w:hAnsi="宋体" w:eastAsia="宋体" w:cs="宋体"/>
          <w:color w:val="000"/>
          <w:sz w:val="28"/>
          <w:szCs w:val="28"/>
        </w:rPr>
        <w:t xml:space="preserve">一般而言，工业用地大都是以出让方式取得，但由于历史的原因，一些公司的工业用地是通过划拨形式获得的。根据^v^第9号令《划拨用地目录》的规定，我国现行的划拨用地的主要项目是：党政机关和人民团体用地、军事用地、城市基础设施用地、公益事业用地及国家重点扶持的能源、交通、水利等基础设施用地和特殊项目用地。</w:t>
      </w:r>
    </w:p>
    <w:p>
      <w:pPr>
        <w:ind w:left="0" w:right="0" w:firstLine="560"/>
        <w:spacing w:before="450" w:after="450" w:line="312" w:lineRule="auto"/>
      </w:pPr>
      <w:r>
        <w:rPr>
          <w:rFonts w:ascii="宋体" w:hAnsi="宋体" w:eastAsia="宋体" w:cs="宋体"/>
          <w:color w:val="000"/>
          <w:sz w:val="28"/>
          <w:szCs w:val="28"/>
        </w:rPr>
        <w:t xml:space="preserve">麻烦在于，根据法律规定，划拨土地使用权系无偿取得，同时政府根据城市建设发展需要和城市规划的要求，可以无偿收回。所以，对于划拨用地，在购买前，一定要先与政府部门沟通好，确认是否可以将划拨用地改为协议出让。尽管法律规定在符合一定条件时，经有权机构审批后政府可将划拨土地使用权协议出让给土地使用者，但这也不是理所当然的事情。所以在交易前买方一定要与政府主管部门探讨划拨转出让的可能性，并对程序、时限、签署出让合同、补交土地出让金等方面予以确定。</w:t>
      </w:r>
    </w:p>
    <w:p>
      <w:pPr>
        <w:ind w:left="0" w:right="0" w:firstLine="560"/>
        <w:spacing w:before="450" w:after="450" w:line="312" w:lineRule="auto"/>
      </w:pPr>
      <w:r>
        <w:rPr>
          <w:rFonts w:ascii="宋体" w:hAnsi="宋体" w:eastAsia="宋体" w:cs="宋体"/>
          <w:color w:val="000"/>
          <w:sz w:val="28"/>
          <w:szCs w:val="28"/>
        </w:rPr>
        <w:t xml:space="preserve">笔者20_年办理的一起位于奉贤区的目标工业厂房交易中，律师介入前，交易双方已经谈妥了价格，以股权转让的方式先进行交割，然后再补交土地出让金。但是买方当时没有意识到沪府办〔20_〕23号规定新的土地使用权期限原则上为20年（买方一直以为可以拿到50年的土地使用权）。后经与政府部门的沟通，确定出让情形下新的土地使用权为20年，为此交易双方降低了交易价格，从而有效维护了收购方的利益。</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w:t>
      </w:r>
    </w:p>
    <w:p>
      <w:pPr>
        <w:ind w:left="0" w:right="0" w:firstLine="560"/>
        <w:spacing w:before="450" w:after="450" w:line="312" w:lineRule="auto"/>
      </w:pPr>
      <w:r>
        <w:rPr>
          <w:rFonts w:ascii="宋体" w:hAnsi="宋体" w:eastAsia="宋体" w:cs="宋体"/>
          <w:color w:val="000"/>
          <w:sz w:val="28"/>
          <w:szCs w:val="28"/>
        </w:rPr>
        <w:t xml:space="preserve">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2025-04-10T14:29:17+08:00</dcterms:created>
  <dcterms:modified xsi:type="dcterms:W3CDTF">2025-04-10T14:29:17+08:00</dcterms:modified>
</cp:coreProperties>
</file>

<file path=docProps/custom.xml><?xml version="1.0" encoding="utf-8"?>
<Properties xmlns="http://schemas.openxmlformats.org/officeDocument/2006/custom-properties" xmlns:vt="http://schemas.openxmlformats.org/officeDocument/2006/docPropsVTypes"/>
</file>