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最新企业租赁承包经营合同(5篇)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租赁承包经营合同一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企业租赁承包经营合同一</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第十三条 承租人对租赁的固定资产，应提取不低于_________%的折旧基金和_________%的大修理基金，必须做到专款专用。 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企业租赁承包经营合同五</w:t>
      </w:r>
    </w:p>
    <w:p>
      <w:pPr>
        <w:ind w:left="0" w:right="0" w:firstLine="560"/>
        <w:spacing w:before="450" w:after="450" w:line="312" w:lineRule="auto"/>
      </w:pPr>
      <w:r>
        <w:rPr>
          <w:rFonts w:ascii="宋体" w:hAnsi="宋体" w:eastAsia="宋体" w:cs="宋体"/>
          <w:color w:val="000"/>
          <w:sz w:val="28"/>
          <w:szCs w:val="28"/>
        </w:rPr>
        <w:t xml:space="preserve">出租方(甲方)：道真自治县宏达贸易有限责任公司 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方：道真自治县宏达贸易有限责任公司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2025-04-21T07:51:51+08:00</dcterms:created>
  <dcterms:modified xsi:type="dcterms:W3CDTF">2025-04-21T07:51:51+08:00</dcterms:modified>
</cp:coreProperties>
</file>

<file path=docProps/custom.xml><?xml version="1.0" encoding="utf-8"?>
<Properties xmlns="http://schemas.openxmlformats.org/officeDocument/2006/custom-properties" xmlns:vt="http://schemas.openxmlformats.org/officeDocument/2006/docPropsVTypes"/>
</file>