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最新金融机构借款合同 金融机构定期存款业务最长期限(19篇)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金融机构借款合同 金融机构定期存款业务最长期限一负责人，行长。乙方县农村信用合作社联合社。法定代表人，主任。?根据中国人民银行银行复[_________]90号文件精神，促进双方经营顺利开展，甲乙双方经过充分协商，签订如下约期存款合同：一、...</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 金融机构定期存款业务最长期限篇十一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