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2025年商品混凝土买卖合同结算优质(19篇)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结算一供方(简称乙方)：为进一步落实甲乙双方关于买卖商品混凝土之事宜，保护双方的合法权益，明确双方技术经济责任，保证工程建设正常进行。依照《中华人民共和国合同法》《预拌混凝土》(gb/t14902-20_)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商品混凝土买卖合同结算一</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商品混凝土买卖合同结算二</w:t>
      </w:r>
    </w:p>
    <w:p>
      <w:pPr>
        <w:ind w:left="0" w:right="0" w:firstLine="560"/>
        <w:spacing w:before="450" w:after="450" w:line="312" w:lineRule="auto"/>
      </w:pPr>
      <w:r>
        <w:rPr>
          <w:rFonts w:ascii="宋体" w:hAnsi="宋体" w:eastAsia="宋体" w:cs="宋体"/>
          <w:color w:val="000"/>
          <w:sz w:val="28"/>
          <w:szCs w:val="28"/>
        </w:rPr>
        <w:t xml:space="preserve">范本在进行混凝土在买卖时，签订相关的合同是十分必要的，那么相关的合同内容应该是怎样的呢下面就和小编一起来看看吧。甲方(买受方)：乙方(出卖方)：遵照《民法典》、《中华人民共和国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商品混凝土买卖合同结算三</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商品混凝土买卖合同结算六</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商品混凝土买卖合同结算七</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商品混凝土买卖合同结算八</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商品混凝土买卖合同结算九</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 三、供应量结算。按照《预拌混凝土》(gb/t14902-20xx)，商品混凝土供应量以运输车的发货总量计算，如需按施工图计算量进行复核时，不扣除混凝土结构中钢筋所占体积损耗。其误差应不超过±2%。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 %，按照本合同表1确定的单价进行结算;如果主要原材料结算期价格与签订合同期价格相比，价格变化幅度超过 %，按超过部分的单价计取税金后与本合同表1确定的单价之和确定结算单价进行结算。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 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 );每一次价格结算完成后二日内，甲方向乙方支付不低于70%的已结算货款，尾款在全部混凝土供应完成或工程结构封顶后的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 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 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 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 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宋体" w:hAnsi="宋体" w:eastAsia="宋体" w:cs="宋体"/>
          <w:color w:val="000"/>
          <w:sz w:val="28"/>
          <w:szCs w:val="28"/>
        </w:rPr>
        <w:t xml:space="preserve">甲方签字：(章) 乙方签字：(章) 法定代表人： 法定代表人： 委托代表人： 委托代表人： 地 址： 地 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商品混凝土买卖合同结算篇十一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商品混凝土买卖合同结算篇十二</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1.1.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 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 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 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 混凝土的质量执行《预拌混凝土》gbt 4902-xx年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商品混凝土买卖合同结算篇十三</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2025-01-31T12:44:17+08:00</dcterms:created>
  <dcterms:modified xsi:type="dcterms:W3CDTF">2025-01-31T12:44:17+08:00</dcterms:modified>
</cp:coreProperties>
</file>

<file path=docProps/custom.xml><?xml version="1.0" encoding="utf-8"?>
<Properties xmlns="http://schemas.openxmlformats.org/officeDocument/2006/custom-properties" xmlns:vt="http://schemas.openxmlformats.org/officeDocument/2006/docPropsVTypes"/>
</file>