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最新安徽省商品房买卖合同(24篇)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徽省商品房买卖合同一承租方根据《民法典》及有关规定，为明确出租方与承租方的权利义务关系，经双方协商一致，签定本合同。一、租赁房屋及附属文件的名称、数量、质量与用途1、房屋座落路号、间数面积结构2、用途3、租赁期限租赁期共年零月，出租方从_...</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安徽省商品房买卖合同五</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安徽省商品房买卖合同六</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安徽省商品房买卖合同九</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安徽省商品房买卖合同篇十一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 。</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 元/年，第一年预先支付三个月的租金 元， 月 日支付剩余 元。第二年开始，每年一次性支付租金。租赁期如果继续承租将提前一个月支付租金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