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咨询服务合同简单版本(19篇)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咨询服务合同简单版本一提供管理咨询服务方 (以下简称甲方)登记注册地：执照注册号：法定代表人：经济性质：地 址：邮政编码：接受管理咨询服务方： (以下简称乙方)登记注册地： (营业执照注册号 )法定代表人：经济性质：地 址：邮政编码：为明确...</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咨询服务合同简单版本一</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咨询服务合同简单版本三</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咨询服务合同简单版本五</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3.甲方在乙方离职时发放“离职补偿金”以要求乙方做到第四项条款。获取“离职补偿金”条件：_________________当涉及违反甲方纪律而被处分，处罚或被解雇的乙方不在获取“离职补偿金”范围内。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4.“离职补偿金”发放的比例：_________________</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四、注释：_________________相同或相近业务(专业)有竞争关系或利益关系的公司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乙方违反此合同，甲方有权无条件解除聘用合同，当造成一定经济损失时，甲方视情节轻重处理，处以乙方_____________至_____________万的罚款。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咨询服务合同简单版本七</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 表(签字)：_________签订地点：_____________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咨询服务合同简单版本篇十一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咨询服务合同简单版本篇十四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