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关于廉洁教育专题片观后感(6篇)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廉洁教育专题片观后感一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w:t>
      </w:r>
    </w:p>
    <w:p>
      <w:pPr>
        <w:ind w:left="0" w:right="0" w:firstLine="560"/>
        <w:spacing w:before="450" w:after="450" w:line="312" w:lineRule="auto"/>
      </w:pPr>
      <w:r>
        <w:rPr>
          <w:rFonts w:ascii="黑体" w:hAnsi="黑体" w:eastAsia="黑体" w:cs="黑体"/>
          <w:color w:val="000000"/>
          <w:sz w:val="36"/>
          <w:szCs w:val="36"/>
          <w:b w:val="1"/>
          <w:bCs w:val="1"/>
        </w:rPr>
        <w:t xml:space="preserve">关于廉洁教育专题片观后感一</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 现实中，许多党员干部违法违纪，往往也都是从“不拘小节”，从生活和工作中的小事开始，一步一步地滑向深渊的。所以，我们一定要常修为政之德，常思贪欲之害，常怀律己之心，用“慎独”来处处严格要求自己、时时严格规范自己，确保自己做到人前人后一个样、八小时内外一个样、有没有监督一个样;用“慎初”来把住第一次、守住第一道防线，确保自己不抱侥幸心理、不图一时之快，不迈危险的第一步;用“慎微”来警惕小毛病、整改小问题，确保自己不在小事小节中迷失方向、不在小恩小惠面前丢掉原则，真正把自己修炼为气节高尚、两袖清风、一身正气、顶天立地的正派人。</w:t>
      </w:r>
    </w:p>
    <w:p>
      <w:pPr>
        <w:ind w:left="0" w:right="0" w:firstLine="560"/>
        <w:spacing w:before="450" w:after="450" w:line="312" w:lineRule="auto"/>
      </w:pPr>
      <w:r>
        <w:rPr>
          <w:rFonts w:ascii="黑体" w:hAnsi="黑体" w:eastAsia="黑体" w:cs="黑体"/>
          <w:color w:val="000000"/>
          <w:sz w:val="36"/>
          <w:szCs w:val="36"/>
          <w:b w:val="1"/>
          <w:bCs w:val="1"/>
        </w:rPr>
        <w:t xml:space="preserve">关于廉洁教育专题片观后感二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 现实中，许多党员干部违法违纪，往往也都是从“不拘小节”，从生活和工作中的小事开始，一步一步地滑向深渊的。所以，我们一定要常修为政之德，常思贪欲之害，常怀律己之心，用“慎独”来处处严格要求自己、时时严格规范自己，确保自己做到人前人后一个样、八小时内外一个样、有没有监督一个样;用“慎初”来把住第一次、守住第一道防线，确保自己不抱侥幸心理、不图一时之快，不迈危险的第一步;用“慎微”来警惕小毛病、整改小问题，确保自己不在小事小节中迷失方向、不在小恩小惠面前丢掉原则，真正把自己修炼为气节高尚、两袖清风、一身正气、顶天立地的正派人。</w:t>
      </w:r>
    </w:p>
    <w:p>
      <w:pPr>
        <w:ind w:left="0" w:right="0" w:firstLine="560"/>
        <w:spacing w:before="450" w:after="450" w:line="312" w:lineRule="auto"/>
      </w:pPr>
      <w:r>
        <w:rPr>
          <w:rFonts w:ascii="黑体" w:hAnsi="黑体" w:eastAsia="黑体" w:cs="黑体"/>
          <w:color w:val="000000"/>
          <w:sz w:val="36"/>
          <w:szCs w:val="36"/>
          <w:b w:val="1"/>
          <w:bCs w:val="1"/>
        </w:rPr>
        <w:t xml:space="preserve">关于廉洁教育专题片观后感三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2025-04-11T16:39:54+08:00</dcterms:created>
  <dcterms:modified xsi:type="dcterms:W3CDTF">2025-04-11T16:39:54+08:00</dcterms:modified>
</cp:coreProperties>
</file>

<file path=docProps/custom.xml><?xml version="1.0" encoding="utf-8"?>
<Properties xmlns="http://schemas.openxmlformats.org/officeDocument/2006/custom-properties" xmlns:vt="http://schemas.openxmlformats.org/officeDocument/2006/docPropsVTypes"/>
</file>