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最新社保基金安全警示片观后感和方法(4篇)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社保基金安全警示片观后感和方法一按照分权、限权、控权的思路，各单位以社保基金安全为核心、收支为主线、业务关键环节为重点，根据养老保险、医疗保险、工伤保险等业务板块的工作内容，从社保基金筹集、拨付和管理的三个环节，分别建立了社保基金内部控...</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最新社保基金安全警示片观后感和方法二</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最新社保基金安全警示片观后感和方法三</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6"/>
          <w:szCs w:val="36"/>
          <w:b w:val="1"/>
          <w:bCs w:val="1"/>
        </w:rPr>
        <w:t xml:space="preserve">最新社保基金安全警示片观后感和方法四</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2025-04-28T20:42:54+08:00</dcterms:created>
  <dcterms:modified xsi:type="dcterms:W3CDTF">2025-04-28T20:42:54+08:00</dcterms:modified>
</cp:coreProperties>
</file>

<file path=docProps/custom.xml><?xml version="1.0" encoding="utf-8"?>
<Properties xmlns="http://schemas.openxmlformats.org/officeDocument/2006/custom-properties" xmlns:vt="http://schemas.openxmlformats.org/officeDocument/2006/docPropsVTypes"/>
</file>