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对于弘扬新风正气建设勤廉抚州观后感精选(三篇)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弘扬新风正气建设勤廉抚州观后感精选一党的***以来，以习近平同志为核心的党中央把全面从严治党纳入“四个全面”战略布局，以顽强意志品质正风肃纪反腐，很多工作都体现着“三不”一体理念。浙江省宁波市各级纪检监察机关准确理解一体推进“三不”的深...</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对于弘扬新风正气建设勤廉抚州观后感精选二</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对于弘扬新风正气建设勤廉抚州观后感精选三</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