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伊索寓言读后感20字(十二篇)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伊索寓言读后感20字一《伊索寓言》的作者是古希腊的伊索，他是传说中的人物，他写的都是对生活中某种现象的批判、启示和教训。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伊索寓言读后感20字八</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伊索寓言读后感20字九</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伊索寓言读后感20字篇十一</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伊索寓言读后感20字篇十二</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