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学习宣传《民法典》活动情况总结3篇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　　学习宣传《民法典》活动情况总结　　2024年...</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2024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