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2024年双拥宣传工作总结如何写(三篇)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双拥宣传工作总结如何写一认真贯彻落实党中央、国务院、--关于加强军政、军民团结的指示精神，加强我校的学生军训、军民共建、国防教育等工作，为营造军爱民、民拥军、军民鱼水一家人的社会氛围，为国家和部队建设作出应有的贡献。二、工作目标1、...</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20_年双拥宣传工作总结如何写一</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教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一是调整组织领导体系，成立新的“双拥”工作领导小组，形成了主管抓总，分工负责，积极配合，做到拥军工作有人抓、有人负责、有人落实，切实加强全校双拥工作领导。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与“消防支队”建立了友好关系。学生不断到部队参观学习，军队和学校经常开展文娱体育比赛和联欢活动。邀请部队官兵到学校，向他们传授计算机的有关知识，进行科技拥军。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政教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国旗班，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20_年双拥宣传工作总结如何写二</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国军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