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践行两学一做活动总结ppt</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月15日，全国组织部长会议上提出：广大党员要深入学习党章党规，深入学习习近平总书记系列重要讲话，自觉用党章和党规党纪规范自己的言行，用党的理论创新成果武装头脑。因此，我们每位党员都要自觉行动起来，积极投身“两学一做”教育活动中，学党章党规...</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xx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