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开展数字乡村工作总结(10篇)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开展数字乡村工作总结1根据《关于做好年度数字乡村发展和数字素养提升工作总结的通知》要求，省文化和旅游厅系统梳理任务清单，结合工作实际，对20_年度数字乡村发展和数字素养提升落实情况进行总结，报告如下：&gt;一、全面提升数字素养与技能&gt;二、深入推...</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开展数字乡村工作总结1</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根据《关于做好年度数字乡村发展和数字素养提升工作总结的通知》要求，省文化和旅游厅系统梳理任务清单，结合工作实际，对20_年度数字乡村发展和数字素养提升落实情况进行总结，报告如下：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_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开展数字乡村工作总结3</w:t>
      </w:r>
    </w:p>
    <w:p>
      <w:pPr>
        <w:ind w:left="0" w:right="0" w:firstLine="560"/>
        <w:spacing w:before="450" w:after="450" w:line="312" w:lineRule="auto"/>
      </w:pPr>
      <w:r>
        <w:rPr>
          <w:rFonts w:ascii="宋体" w:hAnsi="宋体" w:eastAsia="宋体" w:cs="宋体"/>
          <w:color w:val="000"/>
          <w:sz w:val="28"/>
          <w:szCs w:val="28"/>
        </w:rPr>
        <w:t xml:space="preserve">&gt;一、强化领导，精心部署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&gt;二、排查矛盾化解纠纷，切实维护社会稳定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&gt;三、重点防范，专项整治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维稳在境内工作的一项重大使命。我村15家厂站都是危爆企业，平均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开展数字乡村工作总结4</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开展数字乡村工作总结5</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十四五”规划和202_年远景目标纲要作出“加快推进数字乡村建设”的重要部署。我们要牢牢把握数字技术创新发展新机遇，推动数字技术同农业发展、农村治理和农民生活深度融合，为加快农业农村现代化提供坚强科技保障。</w:t>
      </w:r>
    </w:p>
    <w:p>
      <w:pPr>
        <w:ind w:left="0" w:right="0" w:firstLine="560"/>
        <w:spacing w:before="450" w:after="450" w:line="312" w:lineRule="auto"/>
      </w:pPr>
      <w:r>
        <w:rPr>
          <w:rFonts w:ascii="宋体" w:hAnsi="宋体" w:eastAsia="宋体" w:cs="宋体"/>
          <w:color w:val="000"/>
          <w:sz w:val="28"/>
          <w:szCs w:val="28"/>
        </w:rPr>
        <w:t xml:space="preserve">&gt;助力发展现代农业。</w:t>
      </w:r>
    </w:p>
    <w:p>
      <w:pPr>
        <w:ind w:left="0" w:right="0" w:firstLine="560"/>
        <w:spacing w:before="450" w:after="450" w:line="312" w:lineRule="auto"/>
      </w:pPr>
      <w:r>
        <w:rPr>
          <w:rFonts w:ascii="宋体" w:hAnsi="宋体" w:eastAsia="宋体" w:cs="宋体"/>
          <w:color w:val="000"/>
          <w:sz w:val="28"/>
          <w:szCs w:val="28"/>
        </w:rPr>
        <w:t xml:space="preserve">&gt;提升农村治理水平。</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开展数字乡村工作总结7</w:t>
      </w:r>
    </w:p>
    <w:p>
      <w:pPr>
        <w:ind w:left="0" w:right="0" w:firstLine="560"/>
        <w:spacing w:before="450" w:after="450" w:line="312" w:lineRule="auto"/>
      </w:pPr>
      <w:r>
        <w:rPr>
          <w:rFonts w:ascii="宋体" w:hAnsi="宋体" w:eastAsia="宋体" w:cs="宋体"/>
          <w:color w:val="000"/>
          <w:sz w:val="28"/>
          <w:szCs w:val="28"/>
        </w:rPr>
        <w:t xml:space="preserve">根据《数字乡村发展战略纲要》《20_年数字乡村发展工作要点》等文件精神，开阳县教育局认真贯彻落实数字乡村建设发展工作，现将20_年数字乡村建设工作总结如下：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_）中小学教师微课应用暨竞赛活动，共上传作品1066件，参赛作品652件，推荐参加市级竞赛391件、获市级奖项作品245件；组织学生作品参加贵阳市中小学电脑制作活动，上报作品24件，获奖14件。组织教师作品参加贵州省“一师一优课 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&gt;三、_十四五”期间发展目标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开展数字乡村工作总结8</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开展数字乡村工作总结9</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开展数字乡村工作总结10</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2025-01-23T03:25:39+08:00</dcterms:created>
  <dcterms:modified xsi:type="dcterms:W3CDTF">2025-01-23T03:25:39+08:00</dcterms:modified>
</cp:coreProperties>
</file>

<file path=docProps/custom.xml><?xml version="1.0" encoding="utf-8"?>
<Properties xmlns="http://schemas.openxmlformats.org/officeDocument/2006/custom-properties" xmlns:vt="http://schemas.openxmlformats.org/officeDocument/2006/docPropsVTypes"/>
</file>