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志愿者核酸检测工作总结</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志愿者核酸检测工作总结，希望对大家有...</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志愿者核酸检测工作总结，希望对大家有所帮助![_TAG_h2]　　志愿者核酸检测工作总结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202_-12-22责任单位：温江区市政公用局202_年，在区委区政府领导下，在市城管局的工作指导下，我局按照市城管局《成都市14区（市）县城市道路桥梁养护管理考核办法（试行）》（成城发[202_]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202_年12月—202_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_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　　志愿者核酸检测工作总结</w:t>
      </w:r>
    </w:p>
    <w:p>
      <w:pPr>
        <w:ind w:left="0" w:right="0" w:firstLine="560"/>
        <w:spacing w:before="450" w:after="450" w:line="312" w:lineRule="auto"/>
      </w:pPr>
      <w:r>
        <w:rPr>
          <w:rFonts w:ascii="宋体" w:hAnsi="宋体" w:eastAsia="宋体" w:cs="宋体"/>
          <w:color w:val="000"/>
          <w:sz w:val="28"/>
          <w:szCs w:val="28"/>
        </w:rPr>
        <w:t xml:space="preserve">&gt;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3.根据生产制造部门的现场装配、调试、检验等的验证需求，202_年申购10种先进检验设备已全部到位并极时用于现场。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对计量器具检定、检修频次过少，造成计量器具损坏严重，无法确保现场所使用的计量器具是否100%满足产品检测。在202_年里需不断的去补充，规范、完善计量器具的检定周期校验。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计划在202_年完善计量器具的使用管理，将检验员与生产现场工人所使用的量具分开使用保管，必免窜用，影响检测精度。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&gt;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202_年度合格供应商综合评比率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　&gt;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&gt;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_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&gt;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　&gt;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　　&gt;六、建议与想法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宋体" w:hAnsi="宋体" w:eastAsia="宋体" w:cs="宋体"/>
          <w:color w:val="000"/>
          <w:sz w:val="28"/>
          <w:szCs w:val="28"/>
        </w:rPr>
        <w:t xml:space="preserve">　　注：查看本文相关详情请搜索进入安徽人事资料网然后站内搜索检验科年度考核总结。</w:t>
      </w:r>
    </w:p>
    <w:p>
      <w:pPr>
        <w:ind w:left="0" w:right="0" w:firstLine="560"/>
        <w:spacing w:before="450" w:after="450" w:line="312" w:lineRule="auto"/>
      </w:pPr>
      <w:r>
        <w:rPr>
          <w:rFonts w:ascii="黑体" w:hAnsi="黑体" w:eastAsia="黑体" w:cs="黑体"/>
          <w:color w:val="000000"/>
          <w:sz w:val="36"/>
          <w:szCs w:val="36"/>
          <w:b w:val="1"/>
          <w:bCs w:val="1"/>
        </w:rPr>
        <w:t xml:space="preserve">　　志愿者核酸检测工作总结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景，开展了以下活动：迎接新生活动，美化学校，敬老院之行等义务劳动。我系同学都进取参加，用自我的热情为需要帮忙的人们做一些事，我们感到很光荣。青年志愿者活动的开展增强了大学生的实践本事和创造本事，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我想我系今后要多举行一些青年志愿者活动，让更多的人加入我们，回报社会，奉献爱心!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