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落实全面从严治党责任制总结3篇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落实全面从严治党责任制总结3篇，希望对大家有所帮助!     落实全面从严治党...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落实全面从严治党责任制总结3篇，希望对大家有所帮助![_TAG_h2]     落实全面从严治党责任制总结1篇</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落实全面从严治党责任制总结2篇</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落实全面从严治党责任制总结3篇</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