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漳州垃圾分类工作总结(共9篇)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漳州垃圾分类工作总结1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漳州垃圾分类工作总结1</w:t>
      </w:r>
    </w:p>
    <w:p>
      <w:pPr>
        <w:ind w:left="0" w:right="0" w:firstLine="560"/>
        <w:spacing w:before="450" w:after="450" w:line="312" w:lineRule="auto"/>
      </w:pPr>
      <w:r>
        <w:rPr>
          <w:rFonts w:ascii="宋体" w:hAnsi="宋体" w:eastAsia="宋体" w:cs="宋体"/>
          <w:color w:val="000"/>
          <w:sz w:val="28"/>
          <w:szCs w:val="28"/>
        </w:rPr>
        <w:t xml:space="preserve">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垃圾分类从来都不是一件小事，我国很多城市都将面临一个非常严峻的问题――“垃圾围城”，而垃圾分类是解决垃圾围城问题的重要环节和关键领域，它影响着城市的可持续发展。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漳州垃圾分类工作总结2</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漳州垃圾分类工作总结3</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漳州垃圾分类工作总结5</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x市xxxx社区、xxx广场、xxxx、xxx公园和xxxx客运站等人流量密集的区域，发放调查问卷，走访不同群众。在调研过程中，实践团发现来自不同地区的的不同年龄段的市民群众对于“互联网+城市垃圾分类”主题活动具有各自的独特见解。一位来自xxxx的小姑娘认为，一开始人们都会自觉地把垃圾分类，但过一段时间，人们就懒得这么做了，还是要提高人们的环保意识。而另一位xx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漳州垃圾分类工作总结6</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漳州垃圾分类工作总结7</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漳州垃圾分类工作总结8</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组员:----------及各班班主任</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漳州垃圾分类工作总结9</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