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希望对大家有所帮助!　　202_网络意识形态工作总结汇报&gt;　　一...</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希望对大家有所帮助![_TAG_h2]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202_网络意识形态工作总结汇报</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