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202_疫情防控阶段性总结</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202_，COVID-19)等。下面是本站为大家整理的202_...</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202_，COVID-19)等。下面是本站为大家整理的202_疫情防控阶段性总结,供大家参考。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202_疫情防控阶段性总结</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202_疫情防控阶段性总结</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6"/>
          <w:szCs w:val="36"/>
          <w:b w:val="1"/>
          <w:bCs w:val="1"/>
        </w:rPr>
        <w:t xml:space="preserve">202_疫情防控阶段性总结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