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“四史”学习教育工作总结汇报6篇</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为大家整理的关于“四史”学习教育工作总结汇报6篇范文，希望对大家有所帮助！“四史”学习教育工作...</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为大家整理的关于“四史”学习教育工作总结汇报6篇范文，希望对大家有所帮助！[_TAG_h2]“四史”学习教育工作总结汇报篇1</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“四史”学习教育工作总结汇报篇2</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“四史”学习教育工作总结汇报篇4</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“四史”学习教育工作总结汇报篇6</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