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基层减负工作总结</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工作总结不仅仅是总结成绩，更重要的是为了研究经验，发现做好工作的规律，也可以找出工作失误的教训。本站为大家整理的相关的基层减负工作总结，供大家参考选择。　　基层减负工作总结持之以恒改进作风，坚决纠正和避免形式主义、官僚主义。始终牢记“作风不...</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工作总结不仅仅是总结成绩，更重要的是为了研究经验，发现做好工作的规律，也可以找出工作失误的教训。本站为大家整理的相关的基层减负工作总结，供大家参考选择。[_TAG_h2]　　基层减负工作总结</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xxx年，我委持续严控发文数量，大幅精简要求各级医疗机构报文报表数量，截至xx月xx日我委总体发文数量：xxx件，总体在202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_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 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党中央和自治区党委基层减负各项决策部署落实落地。[_TAG_h2]　　基层减负工作总结</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 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 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 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 ” 我县根据闽价[XX]259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7.6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　　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_TAG_h2]　　基层减负工作总结</w:t>
      </w:r>
    </w:p>
    <w:p>
      <w:pPr>
        <w:ind w:left="0" w:right="0" w:firstLine="560"/>
        <w:spacing w:before="450" w:after="450" w:line="312" w:lineRule="auto"/>
      </w:pPr>
      <w:r>
        <w:rPr>
          <w:rFonts w:ascii="宋体" w:hAnsi="宋体" w:eastAsia="宋体" w:cs="宋体"/>
          <w:color w:val="000"/>
          <w:sz w:val="28"/>
          <w:szCs w:val="28"/>
        </w:rPr>
        <w:t xml:space="preserve">202_年作为“基层减负年”，XX严格按照习近平总书记关于力戒形式主义官僚主义的重要指示批示精神和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XX委办公室、XX政府办公室牵头，从XX委、XX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XX委、XX政府发文比去年同期下降XX%，达到省委下达的精简目标。二是严控会议数量。坚持少开会、开短会、开务实管用的会，对全XX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认真学习贯彻落实习近平总书记关于狠抓落实做好督查工作的重要论述，制发《关于统筹规范督查检查考核工作的通知》，切实规范XX级督查检查考核工作，能合并的坚决合并，能取消的坚决取消，迷步简化程序、压缩时间，多采用不发通知、不打招呼、不听汇报、不用陪同接待、直奔基层、直插现场的暗访方式，倾听群众诉求，掌握第一手资料，不断减轻基层负担。202_年度XX级督查检查考核事项XX项，比202_年减少XX项，精简XX%。</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XX在落实基层减负年各项工作上取得了积极进展，但是对照中央和省市委要求，还存在一些不足：一是精简会议上措施还不够有力，我XX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XX将以开展“不忘XX、牢记XX”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