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档案室年终工作总结汇报 档案室工作年度总结十六篇(通用)</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档案室年终工作总结汇报 档案室工作年度总结一一、重视对资料的管理这一点至关重要，也是做好资料管理的必备条件。因为很多人都认为现场决定一切，资料只不过是现场的附属物、是可以补，甚至可以写“回忆录”的，以至于出现工程进行了很长时间，资料还是一片...</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注文书档案2024卷1970-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档案室年终工作总结汇报 档案室工作年度总结篇十一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档案室工作年度总结篇十四</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档案室工作年度总结篇十五</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档案室年终工作总结汇报 档案室工作年度总结篇十六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