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 放射科个人年终总结及个人规划(4篇)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 放射科个人年终总结及个人规划一二、业务水平方面：俗话说“活到老学到老”，这话用在医生身上再贴切不过了。在很多人的眼里只有临床医生的压力大，风险高，必须医术精湛，以确保万无一失，其实随着科技的发展，大量现代化设备应用到了医...</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放射科个人年终总结及个人规划二</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放射科个人年终总结及个人规划三</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