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最新劳动局相关的工作总结(5篇)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劳动局相关的工作总结一一、业务工作目标(一)做好取消办理劳动合同鉴证的宣传工作、加强劳动用工备案管理，规范用工关系，积极构建和谐劳动关系。根据贵州省劳动和社会保障厅《关于取消办理劳动合同鉴证的通知》精神(黔劳社厅发〔20__〕5号)，全省各...</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劳动局相关的工作总结一</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总结在一个时期、一个年度、一个阶段对学习和工作生活等情况加以回顾和分析的一种书面材料。那么下面小编给大家带来劳动局相关的工作总结，希望大家喜欢!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以来，在市劳动保障部门的精心指导和各乡镇(街道)、各有关部门的大力支持下，我区紧密围绕市就业和社会保障统筹工作领导小组及区政府年初下达的目标任务，以《就业促进法》、《劳动合同法》和《劳动争议调解仲裁法》三部法律的相继实施为契机，以___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一是积极实行社会保险援助，促进就业困难人员灵活就业。今年全区申请灵活就业人员社保补贴24人。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__年企业退休人员“中秋、国庆、重阳”节日活动的通知》(蚌劳社秘[20__]42号)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我区按照省市劳动保障部门的统一部署，从20__年6月在全区范围内开展“消除零转移农户”活动，各乡镇正开展调查摸底工作，全区暂无零转移农户，在今后的工作中，我区将努力实现动态为零的目标。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15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第一，我局把各乡镇失地转城人员列为此次参加城镇居民医保的重点人群，以各劳动保障事务所站为平台，在人员密集地区进行经常性、普遍性的宣传;第二，积极与区教育局协调，做好在校生参加城镇居民医保的宣传工作，提高参保积极性;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我局自20__年元月份，按月对享受生活费人员的生存状况和参加社保情况进行审核，并通过银行，对未参保集体企业退休人员生活费实行了按月社会化发放，1—10月份共发放生活费738人次139942元。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___再就业园区一期工程已建成四幢厂房，建筑面积约11400平方米;水、电、路、电信等基础设施也陆续建成，完成投资1500万元。目前1#、2#、7#、8#厂房已分别租赁给“蚌埠市利特尔装饰有限责任公司”，“蚌埠市江淮节能科技有限公司”，“天林橡胶制品有限公司”和“格锐叉车属具有限公司”。这几家企业固定资产投资已达1500万元，预计20__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(二)成立___职业技能培训学校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(2.08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___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720__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20__年7月1日至今，我区已经审批的被征土地有2557.1655亩，其中耕地1267.116亩;涉及小蚌埠、吴小街两乡镇所辖的9个行政村、3288户11545人，符合参保条件有5266人，其中男满60周岁、女满55周岁的1283人(以上数据不包括20__年7月1日之前被征土地的农民)。涉及被征地农民参保资金共计5055.36万元，其中我区应预留土地补偿金的70%为872.0935万元和提高的征地补偿费为1689.4881万元，两项资金共计2561.5815万元，不足部分由区政府兜底。截至目前，应领取被征地农民养老保险费的有1283人，每年需要支出123.168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__]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对于繁重的培训任务(除众多的农村富余劳动力和失地农民外，全区每年新成长劳动力近20__人)而言，我区职业技能培训软硬件设施日显滞后，急需区政府进一步加大经费投入，以确保培训任务顺利完成。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20__年7月1日征地前后缴费和待遇均有所不同(7月1号之前的被征地农民参保，与之后的参保农民不同，他们必须按年龄补缴4800、6400、8000、9600元四个标准的费用，才能领取每月80元的基本养老金)，我区失地农民的土地大都为20__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宋体" w:hAnsi="宋体" w:eastAsia="宋体" w:cs="宋体"/>
          <w:color w:val="000"/>
          <w:sz w:val="28"/>
          <w:szCs w:val="28"/>
        </w:rPr>
        <w:t xml:space="preserve">半年来劳动仲裁科紧紧围绕调整劳动关系这一中心，以妥善处理劳动争议，保障企业和职工的合法权益，维护正常的生产经营秩序，构建和发展和谐稳定的劳动关系为目标，认真扎实地开展工作，圆满完成了各项工作任务。现根据局党组的安排,将劳动仲裁科09年上半年的工作完成情况汇报如下：</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进一步加强，等等。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按照市劳发[2__]__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20_司机工作总结优秀范文5篇&lt;/span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事业单位会计人员年度考核个人总结五篇&lt;/span[_TAG_h2]劳动局相关的工作总结三</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劳动局相关的工作总结四</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2024-11-22T22:05:49+08:00</dcterms:created>
  <dcterms:modified xsi:type="dcterms:W3CDTF">2024-11-22T22:05:49+08:00</dcterms:modified>
</cp:coreProperties>
</file>

<file path=docProps/custom.xml><?xml version="1.0" encoding="utf-8"?>
<Properties xmlns="http://schemas.openxmlformats.org/officeDocument/2006/custom-properties" xmlns:vt="http://schemas.openxmlformats.org/officeDocument/2006/docPropsVTypes"/>
</file>