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最新中学教师年终工作总结(五篇)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学教师年终工作总结一一、德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中学教师年终工作总结二</w:t>
      </w:r>
    </w:p>
    <w:p>
      <w:pPr>
        <w:ind w:left="0" w:right="0" w:firstLine="560"/>
        <w:spacing w:before="450" w:after="450" w:line="312" w:lineRule="auto"/>
      </w:pPr>
      <w:r>
        <w:rPr>
          <w:rFonts w:ascii="宋体" w:hAnsi="宋体" w:eastAsia="宋体" w:cs="宋体"/>
          <w:color w:val="000"/>
          <w:sz w:val="28"/>
          <w:szCs w:val="28"/>
        </w:rPr>
        <w:t xml:space="preserve">在工作上，我们要善于总结自身的问题，回顾自己的工作状况，找到我们自身的问题，然后加以改正，这是有效提升自己能力的途径。下面i乐德范文网大家整理的关于最新中学教师年终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加强自身基本功的训练，不断提高自己的教学水平和教学能力。争取让自己所带的6个班孩子的成绩都得到提高。在自己的教学经验总结方面还得加油。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20_小学教师个人工作总结简短5篇&lt;/span[_TAG_h2]中学教师年终工作总结三</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中学教师年终工作总结四</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中学教师年终工作总结五</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