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2024年老师学期结束工作总结(5篇)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学期结束工作总结一一、继续加强学习，提高自身素质1.加强政治学习。本学期，我认真学习习近平总书记系列重要讲话，学习总书记的新理念新思想新战略，深刻领会其精神;围绕自己的工作，继续学习《中小学教师职业道德规范》等，把“两学一做”活动与教学...</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老师学期结束工作总结一</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老师学期结束工作总结三</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老师学期结束工作总结五</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